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3B" w:rsidRPr="00916651" w:rsidRDefault="0008733B" w:rsidP="0008733B">
      <w:pPr>
        <w:rPr>
          <w:rFonts w:cstheme="minorHAnsi"/>
          <w:sz w:val="24"/>
          <w:szCs w:val="24"/>
        </w:rPr>
      </w:pPr>
      <w:r w:rsidRPr="00916651">
        <w:rPr>
          <w:rFonts w:cstheme="minorHAnsi"/>
          <w:noProof/>
          <w:sz w:val="24"/>
          <w:szCs w:val="24"/>
        </w:rPr>
        <w:drawing>
          <wp:inline distT="0" distB="0" distL="0" distR="0" wp14:anchorId="6D77E75E" wp14:editId="2BF3F776">
            <wp:extent cx="1574800" cy="571500"/>
            <wp:effectExtent l="0" t="0" r="6350" b="0"/>
            <wp:docPr id="1" name="Picture 1" descr="NADC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ADC_gif.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800" cy="571500"/>
                    </a:xfrm>
                    <a:prstGeom prst="rect">
                      <a:avLst/>
                    </a:prstGeom>
                    <a:noFill/>
                    <a:ln>
                      <a:noFill/>
                    </a:ln>
                  </pic:spPr>
                </pic:pic>
              </a:graphicData>
            </a:graphic>
          </wp:inline>
        </w:drawing>
      </w:r>
    </w:p>
    <w:p w:rsidR="0008733B" w:rsidRPr="00916651" w:rsidRDefault="0008733B" w:rsidP="0008733B">
      <w:pPr>
        <w:rPr>
          <w:rFonts w:cstheme="minorHAnsi"/>
          <w:b/>
          <w:sz w:val="24"/>
          <w:szCs w:val="24"/>
        </w:rPr>
      </w:pPr>
      <w:r w:rsidRPr="00916651">
        <w:rPr>
          <w:rFonts w:cstheme="minorHAnsi"/>
          <w:b/>
          <w:sz w:val="24"/>
          <w:szCs w:val="24"/>
        </w:rPr>
        <w:t>Suggested Topics for 2018 Fall Conference</w:t>
      </w:r>
    </w:p>
    <w:p w:rsidR="0008733B" w:rsidRPr="00916651" w:rsidRDefault="0008733B" w:rsidP="0008733B">
      <w:pPr>
        <w:rPr>
          <w:rFonts w:cstheme="minorHAnsi"/>
          <w:b/>
          <w:sz w:val="24"/>
          <w:szCs w:val="24"/>
        </w:rPr>
      </w:pPr>
      <w:r w:rsidRPr="00916651">
        <w:rPr>
          <w:rFonts w:eastAsia="Times New Roman" w:cstheme="minorHAnsi"/>
          <w:iCs/>
          <w:sz w:val="24"/>
          <w:szCs w:val="24"/>
        </w:rPr>
        <w:t>11.</w:t>
      </w:r>
      <w:r w:rsidRPr="00916651">
        <w:rPr>
          <w:rFonts w:eastAsia="Times New Roman" w:cstheme="minorHAnsi"/>
          <w:i/>
          <w:iCs/>
          <w:sz w:val="24"/>
          <w:szCs w:val="24"/>
        </w:rPr>
        <w:tab/>
      </w:r>
      <w:r w:rsidRPr="00916651">
        <w:rPr>
          <w:rFonts w:cstheme="minorHAnsi"/>
          <w:sz w:val="24"/>
          <w:szCs w:val="24"/>
          <w:highlight w:val="yellow"/>
          <w:u w:val="single"/>
        </w:rPr>
        <w:t>ADR: The Good, The Bad, The Ugly</w:t>
      </w:r>
    </w:p>
    <w:p w:rsidR="0008733B" w:rsidRPr="00916651" w:rsidRDefault="0008733B" w:rsidP="0008733B">
      <w:pPr>
        <w:rPr>
          <w:rFonts w:cstheme="minorHAnsi"/>
          <w:b/>
          <w:sz w:val="24"/>
          <w:szCs w:val="24"/>
        </w:rPr>
      </w:pPr>
      <w:r w:rsidRPr="00916651">
        <w:rPr>
          <w:rFonts w:cstheme="minorHAnsi"/>
          <w:sz w:val="24"/>
          <w:szCs w:val="24"/>
        </w:rPr>
        <w:t>Panelists:</w:t>
      </w:r>
      <w:r w:rsidRPr="00916651">
        <w:rPr>
          <w:rFonts w:cstheme="minorHAnsi"/>
          <w:sz w:val="24"/>
          <w:szCs w:val="24"/>
        </w:rPr>
        <w:tab/>
      </w:r>
      <w:r w:rsidRPr="00916651">
        <w:rPr>
          <w:rFonts w:cstheme="minorHAnsi"/>
          <w:sz w:val="24"/>
          <w:szCs w:val="24"/>
        </w:rPr>
        <w:tab/>
        <w:t>Robert Poklar and Matthew Miller, Weston Hurd LLP</w:t>
      </w:r>
      <w:r w:rsidRPr="00916651">
        <w:rPr>
          <w:rFonts w:cstheme="minorHAnsi"/>
          <w:sz w:val="24"/>
          <w:szCs w:val="24"/>
        </w:rPr>
        <w:br/>
      </w:r>
      <w:r w:rsidRPr="00916651">
        <w:rPr>
          <w:rFonts w:cstheme="minorHAnsi"/>
          <w:sz w:val="24"/>
          <w:szCs w:val="24"/>
        </w:rPr>
        <w:tab/>
      </w:r>
      <w:r w:rsidRPr="00916651">
        <w:rPr>
          <w:rFonts w:cstheme="minorHAnsi"/>
          <w:sz w:val="24"/>
          <w:szCs w:val="24"/>
        </w:rPr>
        <w:tab/>
      </w:r>
      <w:r w:rsidRPr="00916651">
        <w:rPr>
          <w:rFonts w:cstheme="minorHAnsi"/>
          <w:sz w:val="24"/>
          <w:szCs w:val="24"/>
        </w:rPr>
        <w:tab/>
      </w:r>
      <w:r w:rsidRPr="00916651">
        <w:rPr>
          <w:rFonts w:cstheme="minorHAnsi"/>
          <w:b/>
          <w:sz w:val="24"/>
          <w:szCs w:val="24"/>
        </w:rPr>
        <w:t>George A. Kurisky, Jr., Johnson DeLuca Kurisky &amp; Gould, P.C.</w:t>
      </w:r>
    </w:p>
    <w:p w:rsidR="0008733B" w:rsidRPr="00916651" w:rsidRDefault="0008733B" w:rsidP="0008733B">
      <w:pPr>
        <w:pStyle w:val="NoSpacing"/>
        <w:rPr>
          <w:rFonts w:cstheme="minorHAnsi"/>
          <w:sz w:val="24"/>
          <w:szCs w:val="24"/>
        </w:rPr>
      </w:pPr>
      <w:r w:rsidRPr="00916651">
        <w:rPr>
          <w:rFonts w:cstheme="minorHAnsi"/>
          <w:sz w:val="24"/>
          <w:szCs w:val="24"/>
        </w:rPr>
        <w:t>Length of Time:</w:t>
      </w:r>
      <w:r w:rsidRPr="00916651">
        <w:rPr>
          <w:rFonts w:cstheme="minorHAnsi"/>
          <w:sz w:val="24"/>
          <w:szCs w:val="24"/>
        </w:rPr>
        <w:tab/>
        <w:t>60 minutes</w:t>
      </w:r>
    </w:p>
    <w:p w:rsidR="0008733B" w:rsidRPr="00916651" w:rsidRDefault="0008733B" w:rsidP="0008733B">
      <w:pPr>
        <w:rPr>
          <w:rFonts w:cstheme="minorHAnsi"/>
          <w:sz w:val="24"/>
          <w:szCs w:val="24"/>
        </w:rPr>
      </w:pPr>
    </w:p>
    <w:p w:rsidR="0008733B" w:rsidRPr="00916651" w:rsidRDefault="0008733B" w:rsidP="0008733B">
      <w:pPr>
        <w:rPr>
          <w:rFonts w:cstheme="minorHAnsi"/>
          <w:sz w:val="24"/>
          <w:szCs w:val="24"/>
        </w:rPr>
      </w:pPr>
      <w:r w:rsidRPr="00916651">
        <w:rPr>
          <w:rFonts w:cstheme="minorHAnsi"/>
          <w:sz w:val="24"/>
          <w:szCs w:val="24"/>
        </w:rPr>
        <w:t>Why Choose ADR (mediation / arbitration):</w:t>
      </w:r>
    </w:p>
    <w:p w:rsidR="0008733B" w:rsidRPr="00916651" w:rsidRDefault="0008733B" w:rsidP="0008733B">
      <w:pPr>
        <w:rPr>
          <w:rFonts w:cstheme="minorHAnsi"/>
          <w:sz w:val="24"/>
          <w:szCs w:val="24"/>
        </w:rPr>
      </w:pPr>
      <w:r w:rsidRPr="00916651">
        <w:rPr>
          <w:rFonts w:cstheme="minorHAnsi"/>
          <w:sz w:val="24"/>
          <w:szCs w:val="24"/>
        </w:rPr>
        <w:t>Court Mandated</w:t>
      </w:r>
      <w:r w:rsidRPr="00916651">
        <w:rPr>
          <w:rFonts w:cstheme="minorHAnsi"/>
          <w:sz w:val="24"/>
          <w:szCs w:val="24"/>
        </w:rPr>
        <w:br/>
      </w:r>
      <w:r w:rsidRPr="00916651">
        <w:rPr>
          <w:rFonts w:cstheme="minorHAnsi"/>
          <w:sz w:val="24"/>
          <w:szCs w:val="24"/>
        </w:rPr>
        <w:tab/>
        <w:t>State specific requirements</w:t>
      </w:r>
      <w:r w:rsidRPr="00916651">
        <w:rPr>
          <w:rFonts w:cstheme="minorHAnsi"/>
          <w:sz w:val="24"/>
          <w:szCs w:val="24"/>
        </w:rPr>
        <w:br/>
      </w:r>
      <w:r w:rsidRPr="00916651">
        <w:rPr>
          <w:rFonts w:cstheme="minorHAnsi"/>
          <w:sz w:val="24"/>
          <w:szCs w:val="24"/>
        </w:rPr>
        <w:tab/>
        <w:t>Required in legal document</w:t>
      </w:r>
      <w:r w:rsidRPr="00916651">
        <w:rPr>
          <w:rFonts w:cstheme="minorHAnsi"/>
          <w:sz w:val="24"/>
          <w:szCs w:val="24"/>
        </w:rPr>
        <w:br/>
      </w:r>
      <w:r w:rsidRPr="00916651">
        <w:rPr>
          <w:rFonts w:cstheme="minorHAnsi"/>
          <w:sz w:val="24"/>
          <w:szCs w:val="24"/>
        </w:rPr>
        <w:tab/>
        <w:t>Voluntary</w:t>
      </w:r>
    </w:p>
    <w:p w:rsidR="0008733B" w:rsidRPr="00916651" w:rsidRDefault="0008733B" w:rsidP="0008733B">
      <w:pPr>
        <w:rPr>
          <w:rFonts w:cstheme="minorHAnsi"/>
          <w:sz w:val="24"/>
          <w:szCs w:val="24"/>
        </w:rPr>
      </w:pPr>
      <w:r w:rsidRPr="00916651">
        <w:rPr>
          <w:rFonts w:cstheme="minorHAnsi"/>
          <w:sz w:val="24"/>
          <w:szCs w:val="24"/>
        </w:rPr>
        <w:t>Venue:</w:t>
      </w:r>
    </w:p>
    <w:p w:rsidR="0008733B" w:rsidRPr="00916651" w:rsidRDefault="0008733B" w:rsidP="0008733B">
      <w:pPr>
        <w:pStyle w:val="ListParagraph"/>
        <w:numPr>
          <w:ilvl w:val="1"/>
          <w:numId w:val="1"/>
        </w:numPr>
        <w:ind w:left="990" w:hanging="450"/>
        <w:contextualSpacing/>
        <w:rPr>
          <w:rFonts w:asciiTheme="minorHAnsi" w:hAnsiTheme="minorHAnsi" w:cstheme="minorHAnsi"/>
          <w:sz w:val="24"/>
          <w:szCs w:val="24"/>
        </w:rPr>
      </w:pPr>
      <w:r w:rsidRPr="00916651">
        <w:rPr>
          <w:rFonts w:asciiTheme="minorHAnsi" w:hAnsiTheme="minorHAnsi" w:cstheme="minorHAnsi"/>
          <w:sz w:val="24"/>
          <w:szCs w:val="24"/>
        </w:rPr>
        <w:t>Court appointed</w:t>
      </w:r>
    </w:p>
    <w:p w:rsidR="0008733B" w:rsidRPr="00916651" w:rsidRDefault="0008733B" w:rsidP="0008733B">
      <w:pPr>
        <w:pStyle w:val="ListParagraph"/>
        <w:numPr>
          <w:ilvl w:val="1"/>
          <w:numId w:val="1"/>
        </w:numPr>
        <w:ind w:left="990" w:hanging="450"/>
        <w:contextualSpacing/>
        <w:rPr>
          <w:rFonts w:asciiTheme="minorHAnsi" w:hAnsiTheme="minorHAnsi" w:cstheme="minorHAnsi"/>
          <w:sz w:val="24"/>
          <w:szCs w:val="24"/>
        </w:rPr>
      </w:pPr>
      <w:r w:rsidRPr="00916651">
        <w:rPr>
          <w:rFonts w:asciiTheme="minorHAnsi" w:hAnsiTheme="minorHAnsi" w:cstheme="minorHAnsi"/>
          <w:sz w:val="24"/>
          <w:szCs w:val="24"/>
        </w:rPr>
        <w:t>AAA</w:t>
      </w:r>
    </w:p>
    <w:p w:rsidR="0008733B" w:rsidRPr="00916651" w:rsidRDefault="0008733B" w:rsidP="0008733B">
      <w:pPr>
        <w:pStyle w:val="ListParagraph"/>
        <w:numPr>
          <w:ilvl w:val="1"/>
          <w:numId w:val="1"/>
        </w:numPr>
        <w:ind w:left="990" w:hanging="450"/>
        <w:contextualSpacing/>
        <w:rPr>
          <w:rFonts w:asciiTheme="minorHAnsi" w:hAnsiTheme="minorHAnsi" w:cstheme="minorHAnsi"/>
          <w:sz w:val="24"/>
          <w:szCs w:val="24"/>
        </w:rPr>
      </w:pPr>
      <w:r w:rsidRPr="00916651">
        <w:rPr>
          <w:rFonts w:asciiTheme="minorHAnsi" w:hAnsiTheme="minorHAnsi" w:cstheme="minorHAnsi"/>
          <w:sz w:val="24"/>
          <w:szCs w:val="24"/>
        </w:rPr>
        <w:t>JAMS</w:t>
      </w:r>
    </w:p>
    <w:p w:rsidR="0008733B" w:rsidRPr="00916651" w:rsidRDefault="0008733B" w:rsidP="0008733B">
      <w:pPr>
        <w:pStyle w:val="ListParagraph"/>
        <w:numPr>
          <w:ilvl w:val="1"/>
          <w:numId w:val="1"/>
        </w:numPr>
        <w:ind w:left="990" w:hanging="450"/>
        <w:contextualSpacing/>
        <w:rPr>
          <w:rFonts w:asciiTheme="minorHAnsi" w:hAnsiTheme="minorHAnsi" w:cstheme="minorHAnsi"/>
          <w:sz w:val="24"/>
          <w:szCs w:val="24"/>
        </w:rPr>
      </w:pPr>
      <w:r w:rsidRPr="00916651">
        <w:rPr>
          <w:rFonts w:asciiTheme="minorHAnsi" w:hAnsiTheme="minorHAnsi" w:cstheme="minorHAnsi"/>
          <w:sz w:val="24"/>
          <w:szCs w:val="24"/>
        </w:rPr>
        <w:t>Private Mediator / Arbitrator</w:t>
      </w:r>
    </w:p>
    <w:p w:rsidR="0008733B" w:rsidRPr="00916651" w:rsidRDefault="0008733B" w:rsidP="0008733B">
      <w:pPr>
        <w:pStyle w:val="ListParagraph"/>
        <w:numPr>
          <w:ilvl w:val="1"/>
          <w:numId w:val="1"/>
        </w:numPr>
        <w:ind w:left="990" w:hanging="450"/>
        <w:contextualSpacing/>
        <w:rPr>
          <w:rFonts w:asciiTheme="minorHAnsi" w:hAnsiTheme="minorHAnsi" w:cstheme="minorHAnsi"/>
          <w:sz w:val="24"/>
          <w:szCs w:val="24"/>
        </w:rPr>
      </w:pPr>
      <w:r w:rsidRPr="00916651">
        <w:rPr>
          <w:rFonts w:asciiTheme="minorHAnsi" w:hAnsiTheme="minorHAnsi" w:cstheme="minorHAnsi"/>
          <w:sz w:val="24"/>
          <w:szCs w:val="24"/>
        </w:rPr>
        <w:t>Single Arbitrator vs. Panel</w:t>
      </w:r>
    </w:p>
    <w:p w:rsidR="0008733B" w:rsidRPr="00916651" w:rsidRDefault="0008733B" w:rsidP="0008733B">
      <w:pPr>
        <w:pStyle w:val="ListParagraph"/>
        <w:numPr>
          <w:ilvl w:val="1"/>
          <w:numId w:val="1"/>
        </w:numPr>
        <w:ind w:left="990" w:hanging="450"/>
        <w:contextualSpacing/>
        <w:rPr>
          <w:rFonts w:asciiTheme="minorHAnsi" w:hAnsiTheme="minorHAnsi" w:cstheme="minorHAnsi"/>
          <w:sz w:val="24"/>
          <w:szCs w:val="24"/>
        </w:rPr>
      </w:pPr>
      <w:r w:rsidRPr="00916651">
        <w:rPr>
          <w:rFonts w:asciiTheme="minorHAnsi" w:hAnsiTheme="minorHAnsi" w:cstheme="minorHAnsi"/>
          <w:sz w:val="24"/>
          <w:szCs w:val="24"/>
        </w:rPr>
        <w:t>Venue Challenges</w:t>
      </w:r>
    </w:p>
    <w:p w:rsidR="0008733B" w:rsidRPr="00916651" w:rsidRDefault="0008733B" w:rsidP="0008733B">
      <w:pPr>
        <w:contextualSpacing/>
        <w:rPr>
          <w:rFonts w:cstheme="minorHAnsi"/>
          <w:sz w:val="24"/>
          <w:szCs w:val="24"/>
        </w:rPr>
      </w:pPr>
      <w:r w:rsidRPr="00916651">
        <w:rPr>
          <w:rFonts w:cstheme="minorHAnsi"/>
          <w:sz w:val="24"/>
          <w:szCs w:val="24"/>
        </w:rPr>
        <w:t>Role of the Mediator:</w:t>
      </w:r>
    </w:p>
    <w:p w:rsidR="0008733B" w:rsidRPr="00916651" w:rsidRDefault="0008733B" w:rsidP="0008733B">
      <w:pPr>
        <w:rPr>
          <w:rFonts w:cstheme="minorHAnsi"/>
          <w:sz w:val="24"/>
          <w:szCs w:val="24"/>
        </w:rPr>
      </w:pPr>
      <w:r w:rsidRPr="00916651">
        <w:rPr>
          <w:rFonts w:cstheme="minorHAnsi"/>
          <w:sz w:val="24"/>
          <w:szCs w:val="24"/>
        </w:rPr>
        <w:tab/>
        <w:t>The is a vast difference in the involvement and skill of the mediator depending on the circumstances for example a simple consumer issue vs. a franchisor dispute.</w:t>
      </w:r>
    </w:p>
    <w:p w:rsidR="0008733B" w:rsidRPr="00916651" w:rsidRDefault="0008733B" w:rsidP="0008733B">
      <w:pPr>
        <w:rPr>
          <w:rFonts w:cstheme="minorHAnsi"/>
          <w:sz w:val="24"/>
          <w:szCs w:val="24"/>
        </w:rPr>
      </w:pPr>
      <w:r w:rsidRPr="00916651">
        <w:rPr>
          <w:rFonts w:cstheme="minorHAnsi"/>
          <w:sz w:val="24"/>
          <w:szCs w:val="24"/>
        </w:rPr>
        <w:t>Role of the Arbitrator:</w:t>
      </w:r>
      <w:r w:rsidRPr="00916651">
        <w:rPr>
          <w:rFonts w:cstheme="minorHAnsi"/>
          <w:sz w:val="24"/>
          <w:szCs w:val="24"/>
        </w:rPr>
        <w:br/>
        <w:t>Should ADR agreements be incorporated into consumer transactions? What is the value?</w:t>
      </w:r>
    </w:p>
    <w:p w:rsidR="0008733B" w:rsidRPr="00916651" w:rsidRDefault="0008733B" w:rsidP="0008733B">
      <w:pPr>
        <w:rPr>
          <w:rFonts w:cstheme="minorHAnsi"/>
          <w:sz w:val="24"/>
          <w:szCs w:val="24"/>
        </w:rPr>
      </w:pPr>
      <w:r w:rsidRPr="00916651">
        <w:rPr>
          <w:rFonts w:cstheme="minorHAnsi"/>
          <w:sz w:val="24"/>
          <w:szCs w:val="24"/>
        </w:rPr>
        <w:t>Opt out provisions (consumer vs. commercial)</w:t>
      </w:r>
    </w:p>
    <w:p w:rsidR="0008733B" w:rsidRPr="00916651" w:rsidRDefault="0008733B" w:rsidP="0008733B">
      <w:pPr>
        <w:rPr>
          <w:rFonts w:cstheme="minorHAnsi"/>
          <w:sz w:val="24"/>
          <w:szCs w:val="24"/>
        </w:rPr>
      </w:pPr>
      <w:r w:rsidRPr="00916651">
        <w:rPr>
          <w:rFonts w:cstheme="minorHAnsi"/>
          <w:sz w:val="24"/>
          <w:szCs w:val="24"/>
        </w:rPr>
        <w:t>Approvals and types of ADR provisions and agreements (model agreements)</w:t>
      </w:r>
    </w:p>
    <w:p w:rsidR="0008733B" w:rsidRPr="00916651" w:rsidRDefault="0008733B" w:rsidP="0008733B">
      <w:pPr>
        <w:rPr>
          <w:rFonts w:cstheme="minorHAnsi"/>
          <w:sz w:val="24"/>
          <w:szCs w:val="24"/>
        </w:rPr>
      </w:pPr>
      <w:r w:rsidRPr="00916651">
        <w:rPr>
          <w:rFonts w:cstheme="minorHAnsi"/>
          <w:sz w:val="24"/>
          <w:szCs w:val="24"/>
        </w:rPr>
        <w:t xml:space="preserve">What happens when the parties can’t come to an agreement? </w:t>
      </w:r>
    </w:p>
    <w:p w:rsidR="0008733B" w:rsidRPr="00916651" w:rsidRDefault="0008733B" w:rsidP="0008733B">
      <w:pPr>
        <w:pStyle w:val="ListParagraph"/>
        <w:numPr>
          <w:ilvl w:val="1"/>
          <w:numId w:val="2"/>
        </w:numPr>
        <w:ind w:left="1080" w:hanging="540"/>
        <w:contextualSpacing/>
        <w:rPr>
          <w:rFonts w:asciiTheme="minorHAnsi" w:hAnsiTheme="minorHAnsi" w:cstheme="minorHAnsi"/>
          <w:sz w:val="24"/>
          <w:szCs w:val="24"/>
        </w:rPr>
      </w:pPr>
      <w:r w:rsidRPr="00916651">
        <w:rPr>
          <w:rFonts w:asciiTheme="minorHAnsi" w:hAnsiTheme="minorHAnsi" w:cstheme="minorHAnsi"/>
          <w:sz w:val="24"/>
          <w:szCs w:val="24"/>
        </w:rPr>
        <w:t>Give up and litigate?</w:t>
      </w:r>
    </w:p>
    <w:p w:rsidR="0008733B" w:rsidRPr="00916651" w:rsidRDefault="0008733B" w:rsidP="0008733B">
      <w:pPr>
        <w:pStyle w:val="ListParagraph"/>
        <w:numPr>
          <w:ilvl w:val="1"/>
          <w:numId w:val="2"/>
        </w:numPr>
        <w:ind w:left="1080" w:hanging="540"/>
        <w:contextualSpacing/>
        <w:rPr>
          <w:rFonts w:asciiTheme="minorHAnsi" w:hAnsiTheme="minorHAnsi" w:cstheme="minorHAnsi"/>
          <w:sz w:val="24"/>
          <w:szCs w:val="24"/>
        </w:rPr>
      </w:pPr>
      <w:r w:rsidRPr="00916651">
        <w:rPr>
          <w:rFonts w:asciiTheme="minorHAnsi" w:hAnsiTheme="minorHAnsi" w:cstheme="minorHAnsi"/>
          <w:sz w:val="24"/>
          <w:szCs w:val="24"/>
        </w:rPr>
        <w:t>Provide the Mediator with more time and opportunity.</w:t>
      </w:r>
    </w:p>
    <w:p w:rsidR="0008733B" w:rsidRPr="00916651" w:rsidRDefault="0008733B" w:rsidP="0008733B">
      <w:pPr>
        <w:rPr>
          <w:rFonts w:cstheme="minorHAnsi"/>
          <w:sz w:val="24"/>
          <w:szCs w:val="24"/>
        </w:rPr>
      </w:pPr>
      <w:r w:rsidRPr="00916651">
        <w:rPr>
          <w:rFonts w:cstheme="minorHAnsi"/>
          <w:sz w:val="24"/>
          <w:szCs w:val="24"/>
        </w:rPr>
        <w:br/>
        <w:t>Use of a Mediators blind Memorandum of Agreement.</w:t>
      </w:r>
    </w:p>
    <w:p w:rsidR="0008733B" w:rsidRPr="00916651" w:rsidRDefault="0008733B" w:rsidP="0008733B">
      <w:pPr>
        <w:pStyle w:val="ListParagraph"/>
        <w:numPr>
          <w:ilvl w:val="1"/>
          <w:numId w:val="3"/>
        </w:numPr>
        <w:ind w:left="1080" w:hanging="540"/>
        <w:contextualSpacing/>
        <w:rPr>
          <w:rFonts w:asciiTheme="minorHAnsi" w:hAnsiTheme="minorHAnsi" w:cstheme="minorHAnsi"/>
          <w:sz w:val="24"/>
          <w:szCs w:val="24"/>
        </w:rPr>
      </w:pPr>
      <w:r w:rsidRPr="00916651">
        <w:rPr>
          <w:rFonts w:asciiTheme="minorHAnsi" w:hAnsiTheme="minorHAnsi" w:cstheme="minorHAnsi"/>
          <w:sz w:val="24"/>
          <w:szCs w:val="24"/>
        </w:rPr>
        <w:t>What is it?</w:t>
      </w:r>
    </w:p>
    <w:p w:rsidR="0008733B" w:rsidRPr="00916651" w:rsidRDefault="0008733B" w:rsidP="0008733B">
      <w:pPr>
        <w:pStyle w:val="ListParagraph"/>
        <w:numPr>
          <w:ilvl w:val="1"/>
          <w:numId w:val="3"/>
        </w:numPr>
        <w:ind w:left="1080" w:hanging="540"/>
        <w:contextualSpacing/>
        <w:rPr>
          <w:rFonts w:asciiTheme="minorHAnsi" w:hAnsiTheme="minorHAnsi" w:cstheme="minorHAnsi"/>
          <w:sz w:val="24"/>
          <w:szCs w:val="24"/>
        </w:rPr>
      </w:pPr>
      <w:r w:rsidRPr="00916651">
        <w:rPr>
          <w:rFonts w:asciiTheme="minorHAnsi" w:hAnsiTheme="minorHAnsi" w:cstheme="minorHAnsi"/>
          <w:sz w:val="24"/>
          <w:szCs w:val="24"/>
        </w:rPr>
        <w:t>Does it work?</w:t>
      </w:r>
    </w:p>
    <w:p w:rsidR="0008733B" w:rsidRPr="00916651" w:rsidRDefault="0008733B" w:rsidP="0008733B">
      <w:pPr>
        <w:rPr>
          <w:rFonts w:cstheme="minorHAnsi"/>
          <w:sz w:val="24"/>
          <w:szCs w:val="24"/>
        </w:rPr>
      </w:pPr>
      <w:r w:rsidRPr="00916651">
        <w:rPr>
          <w:rFonts w:cstheme="minorHAnsi"/>
          <w:sz w:val="24"/>
          <w:szCs w:val="24"/>
        </w:rPr>
        <w:br/>
        <w:t>Enforceability of arbitration awards</w:t>
      </w:r>
    </w:p>
    <w:p w:rsidR="0008733B" w:rsidRPr="00916651" w:rsidRDefault="0008733B" w:rsidP="0008733B">
      <w:pPr>
        <w:rPr>
          <w:rFonts w:cstheme="minorHAnsi"/>
          <w:sz w:val="24"/>
          <w:szCs w:val="24"/>
        </w:rPr>
      </w:pPr>
      <w:r w:rsidRPr="00916651">
        <w:rPr>
          <w:rFonts w:cstheme="minorHAnsi"/>
          <w:sz w:val="24"/>
          <w:szCs w:val="24"/>
        </w:rPr>
        <w:tab/>
        <w:t>Court of competent jurisdiction</w:t>
      </w:r>
    </w:p>
    <w:p w:rsidR="0008733B" w:rsidRPr="00916651" w:rsidRDefault="0008733B" w:rsidP="0008733B">
      <w:pPr>
        <w:ind w:firstLine="720"/>
        <w:rPr>
          <w:rFonts w:cstheme="minorHAnsi"/>
          <w:sz w:val="24"/>
          <w:szCs w:val="24"/>
        </w:rPr>
      </w:pPr>
      <w:r w:rsidRPr="00916651">
        <w:rPr>
          <w:rFonts w:cstheme="minorHAnsi"/>
          <w:sz w:val="24"/>
          <w:szCs w:val="24"/>
        </w:rPr>
        <w:t>Counterclaims:</w:t>
      </w:r>
    </w:p>
    <w:p w:rsidR="0008733B" w:rsidRPr="00916651" w:rsidRDefault="0008733B" w:rsidP="0008733B">
      <w:pPr>
        <w:pStyle w:val="ListParagraph"/>
        <w:numPr>
          <w:ilvl w:val="2"/>
          <w:numId w:val="4"/>
        </w:numPr>
        <w:ind w:left="1620"/>
        <w:contextualSpacing/>
        <w:rPr>
          <w:rFonts w:asciiTheme="minorHAnsi" w:hAnsiTheme="minorHAnsi" w:cstheme="minorHAnsi"/>
          <w:sz w:val="24"/>
          <w:szCs w:val="24"/>
        </w:rPr>
      </w:pPr>
      <w:r w:rsidRPr="00916651">
        <w:rPr>
          <w:rFonts w:asciiTheme="minorHAnsi" w:hAnsiTheme="minorHAnsi" w:cstheme="minorHAnsi"/>
          <w:sz w:val="24"/>
          <w:szCs w:val="24"/>
        </w:rPr>
        <w:t>Judgments</w:t>
      </w:r>
    </w:p>
    <w:p w:rsidR="0008733B" w:rsidRDefault="0008733B" w:rsidP="0008733B">
      <w:pPr>
        <w:pStyle w:val="ListParagraph"/>
        <w:numPr>
          <w:ilvl w:val="2"/>
          <w:numId w:val="4"/>
        </w:numPr>
        <w:ind w:left="1620"/>
        <w:contextualSpacing/>
        <w:rPr>
          <w:rFonts w:asciiTheme="minorHAnsi" w:hAnsiTheme="minorHAnsi" w:cstheme="minorHAnsi"/>
          <w:sz w:val="24"/>
          <w:szCs w:val="24"/>
        </w:rPr>
      </w:pPr>
      <w:r w:rsidRPr="00916651">
        <w:rPr>
          <w:rFonts w:asciiTheme="minorHAnsi" w:hAnsiTheme="minorHAnsi" w:cstheme="minorHAnsi"/>
          <w:sz w:val="24"/>
          <w:szCs w:val="24"/>
        </w:rPr>
        <w:t>Calculations</w:t>
      </w:r>
    </w:p>
    <w:p w:rsidR="0008733B" w:rsidRDefault="0008733B" w:rsidP="0008733B">
      <w:pPr>
        <w:contextualSpacing/>
        <w:rPr>
          <w:rFonts w:cstheme="minorHAnsi"/>
          <w:sz w:val="24"/>
          <w:szCs w:val="24"/>
        </w:rPr>
      </w:pPr>
    </w:p>
    <w:p w:rsidR="0008733B" w:rsidRDefault="0008733B" w:rsidP="0008733B">
      <w:pPr>
        <w:contextualSpacing/>
        <w:rPr>
          <w:rFonts w:cstheme="minorHAnsi"/>
          <w:sz w:val="24"/>
          <w:szCs w:val="24"/>
        </w:rPr>
      </w:pPr>
    </w:p>
    <w:p w:rsidR="0008733B" w:rsidRPr="00916651" w:rsidRDefault="0008733B" w:rsidP="0008733B">
      <w:pPr>
        <w:contextualSpacing/>
        <w:rPr>
          <w:rFonts w:cstheme="minorHAnsi"/>
          <w:sz w:val="24"/>
          <w:szCs w:val="24"/>
        </w:rPr>
      </w:pPr>
    </w:p>
    <w:p w:rsidR="0008733B" w:rsidRPr="00916651" w:rsidRDefault="0008733B" w:rsidP="0008733B">
      <w:pPr>
        <w:contextualSpacing/>
        <w:rPr>
          <w:rFonts w:cstheme="minorHAnsi"/>
          <w:sz w:val="24"/>
          <w:szCs w:val="24"/>
        </w:rPr>
      </w:pPr>
    </w:p>
    <w:p w:rsidR="0008733B" w:rsidRPr="006E07E8" w:rsidRDefault="0008733B" w:rsidP="0008733B">
      <w:pPr>
        <w:spacing w:before="100" w:after="100"/>
        <w:ind w:right="720"/>
        <w:rPr>
          <w:sz w:val="24"/>
          <w:szCs w:val="24"/>
        </w:rPr>
      </w:pPr>
      <w:r w:rsidRPr="006E07E8">
        <w:rPr>
          <w:rFonts w:eastAsia="Times New Roman" w:cstheme="minorHAnsi"/>
          <w:iCs/>
          <w:sz w:val="24"/>
          <w:szCs w:val="24"/>
        </w:rPr>
        <w:t>16.</w:t>
      </w:r>
      <w:r w:rsidRPr="006E07E8">
        <w:rPr>
          <w:rFonts w:eastAsia="Times New Roman" w:cstheme="minorHAnsi"/>
          <w:i/>
          <w:iCs/>
          <w:sz w:val="24"/>
          <w:szCs w:val="24"/>
        </w:rPr>
        <w:tab/>
      </w:r>
      <w:r w:rsidRPr="006E07E8">
        <w:rPr>
          <w:color w:val="000000"/>
          <w:sz w:val="24"/>
          <w:szCs w:val="24"/>
          <w:highlight w:val="yellow"/>
          <w:u w:val="single"/>
        </w:rPr>
        <w:t>Compliance Considerations in Post Default Collections and Repossessions</w:t>
      </w:r>
    </w:p>
    <w:p w:rsidR="0008733B" w:rsidRPr="006E07E8" w:rsidRDefault="0008733B" w:rsidP="0008733B">
      <w:pPr>
        <w:rPr>
          <w:rFonts w:cstheme="minorHAnsi"/>
          <w:b/>
          <w:sz w:val="24"/>
          <w:szCs w:val="24"/>
        </w:rPr>
      </w:pPr>
    </w:p>
    <w:p w:rsidR="0008733B" w:rsidRPr="006E07E8" w:rsidRDefault="0008733B" w:rsidP="0008733B">
      <w:pPr>
        <w:spacing w:line="253" w:lineRule="atLeast"/>
        <w:rPr>
          <w:sz w:val="24"/>
          <w:szCs w:val="24"/>
        </w:rPr>
      </w:pPr>
      <w:r w:rsidRPr="006E07E8">
        <w:rPr>
          <w:rFonts w:cstheme="minorHAnsi"/>
          <w:sz w:val="24"/>
          <w:szCs w:val="24"/>
        </w:rPr>
        <w:t>Panelists:</w:t>
      </w:r>
      <w:r w:rsidRPr="006E07E8">
        <w:rPr>
          <w:rFonts w:cstheme="minorHAnsi"/>
          <w:sz w:val="24"/>
          <w:szCs w:val="24"/>
        </w:rPr>
        <w:tab/>
      </w:r>
      <w:r w:rsidRPr="006E07E8">
        <w:rPr>
          <w:rFonts w:cstheme="minorHAnsi"/>
          <w:sz w:val="24"/>
          <w:szCs w:val="24"/>
        </w:rPr>
        <w:tab/>
      </w:r>
      <w:r w:rsidRPr="006E07E8">
        <w:rPr>
          <w:color w:val="000000"/>
          <w:sz w:val="24"/>
          <w:szCs w:val="24"/>
        </w:rPr>
        <w:t xml:space="preserve">Nicole Munro- Partner at Hudson Cook </w:t>
      </w:r>
    </w:p>
    <w:p w:rsidR="0008733B" w:rsidRPr="006E07E8" w:rsidRDefault="0008733B" w:rsidP="0008733B">
      <w:pPr>
        <w:spacing w:line="253" w:lineRule="atLeast"/>
        <w:ind w:left="1440" w:firstLine="720"/>
        <w:rPr>
          <w:sz w:val="24"/>
          <w:szCs w:val="24"/>
        </w:rPr>
      </w:pPr>
      <w:r w:rsidRPr="006E07E8">
        <w:rPr>
          <w:color w:val="000000"/>
          <w:sz w:val="24"/>
          <w:szCs w:val="24"/>
        </w:rPr>
        <w:t xml:space="preserve">Corinne Kirkendall- VP Compliance and Regulatory Affairs at </w:t>
      </w:r>
      <w:proofErr w:type="spellStart"/>
      <w:r w:rsidRPr="006E07E8">
        <w:rPr>
          <w:color w:val="000000"/>
          <w:sz w:val="24"/>
          <w:szCs w:val="24"/>
        </w:rPr>
        <w:t>PassTime</w:t>
      </w:r>
      <w:proofErr w:type="spellEnd"/>
    </w:p>
    <w:p w:rsidR="0008733B" w:rsidRPr="006E07E8" w:rsidRDefault="0008733B" w:rsidP="0008733B">
      <w:pPr>
        <w:ind w:left="2160" w:hanging="2160"/>
        <w:rPr>
          <w:rFonts w:cstheme="minorHAnsi"/>
          <w:sz w:val="24"/>
          <w:szCs w:val="24"/>
        </w:rPr>
      </w:pPr>
      <w:r w:rsidRPr="006E07E8">
        <w:rPr>
          <w:rFonts w:cstheme="minorHAnsi"/>
          <w:sz w:val="24"/>
          <w:szCs w:val="24"/>
        </w:rPr>
        <w:t>Length of Time:</w:t>
      </w:r>
      <w:r w:rsidRPr="006E07E8">
        <w:rPr>
          <w:rFonts w:cstheme="minorHAnsi"/>
          <w:sz w:val="24"/>
          <w:szCs w:val="24"/>
        </w:rPr>
        <w:tab/>
        <w:t>90 minutes</w:t>
      </w:r>
    </w:p>
    <w:p w:rsidR="0008733B" w:rsidRPr="006E07E8" w:rsidRDefault="0008733B" w:rsidP="0008733B">
      <w:pPr>
        <w:spacing w:line="253" w:lineRule="atLeast"/>
        <w:rPr>
          <w:sz w:val="24"/>
          <w:szCs w:val="24"/>
        </w:rPr>
      </w:pPr>
      <w:r w:rsidRPr="006E07E8">
        <w:rPr>
          <w:color w:val="000000"/>
          <w:sz w:val="24"/>
          <w:szCs w:val="24"/>
        </w:rPr>
        <w:t>Scope of the review</w:t>
      </w:r>
    </w:p>
    <w:p w:rsidR="0008733B" w:rsidRPr="006E07E8" w:rsidRDefault="0008733B" w:rsidP="0008733B">
      <w:pPr>
        <w:spacing w:line="253" w:lineRule="atLeast"/>
        <w:rPr>
          <w:sz w:val="24"/>
          <w:szCs w:val="24"/>
        </w:rPr>
      </w:pPr>
      <w:r w:rsidRPr="006E07E8">
        <w:rPr>
          <w:color w:val="000000"/>
          <w:sz w:val="24"/>
          <w:szCs w:val="24"/>
        </w:rPr>
        <w:t>Use of GPS and SID</w:t>
      </w:r>
    </w:p>
    <w:p w:rsidR="0008733B" w:rsidRPr="006E07E8" w:rsidRDefault="0008733B" w:rsidP="0008733B">
      <w:pPr>
        <w:numPr>
          <w:ilvl w:val="1"/>
          <w:numId w:val="5"/>
        </w:numPr>
        <w:spacing w:line="253" w:lineRule="atLeast"/>
        <w:rPr>
          <w:rFonts w:eastAsia="Times New Roman"/>
          <w:color w:val="000000"/>
          <w:sz w:val="24"/>
          <w:szCs w:val="24"/>
        </w:rPr>
      </w:pPr>
      <w:r w:rsidRPr="006E07E8">
        <w:rPr>
          <w:rFonts w:eastAsia="Times New Roman"/>
          <w:color w:val="000000"/>
          <w:sz w:val="24"/>
          <w:szCs w:val="24"/>
        </w:rPr>
        <w:t>State Legislation and Status</w:t>
      </w:r>
    </w:p>
    <w:p w:rsidR="0008733B" w:rsidRPr="006E07E8" w:rsidRDefault="0008733B" w:rsidP="0008733B">
      <w:pPr>
        <w:numPr>
          <w:ilvl w:val="1"/>
          <w:numId w:val="5"/>
        </w:numPr>
        <w:spacing w:line="253" w:lineRule="atLeast"/>
        <w:rPr>
          <w:rFonts w:eastAsia="Times New Roman"/>
          <w:color w:val="000000"/>
          <w:sz w:val="24"/>
          <w:szCs w:val="24"/>
        </w:rPr>
      </w:pPr>
      <w:r w:rsidRPr="006E07E8">
        <w:rPr>
          <w:rFonts w:eastAsia="Times New Roman"/>
          <w:color w:val="000000"/>
          <w:sz w:val="24"/>
          <w:szCs w:val="24"/>
        </w:rPr>
        <w:t>UCC and State Installment Sales Acts</w:t>
      </w:r>
    </w:p>
    <w:p w:rsidR="0008733B" w:rsidRPr="006E07E8" w:rsidRDefault="0008733B" w:rsidP="0008733B">
      <w:pPr>
        <w:numPr>
          <w:ilvl w:val="1"/>
          <w:numId w:val="5"/>
        </w:numPr>
        <w:spacing w:line="253" w:lineRule="atLeast"/>
        <w:rPr>
          <w:rFonts w:eastAsia="Times New Roman"/>
          <w:color w:val="000000"/>
          <w:sz w:val="24"/>
          <w:szCs w:val="24"/>
        </w:rPr>
      </w:pPr>
      <w:r w:rsidRPr="006E07E8">
        <w:rPr>
          <w:rFonts w:eastAsia="Times New Roman"/>
          <w:color w:val="000000"/>
          <w:sz w:val="24"/>
          <w:szCs w:val="24"/>
        </w:rPr>
        <w:t>Data Security</w:t>
      </w:r>
    </w:p>
    <w:p w:rsidR="0008733B" w:rsidRPr="006E07E8" w:rsidRDefault="0008733B" w:rsidP="0008733B">
      <w:pPr>
        <w:numPr>
          <w:ilvl w:val="1"/>
          <w:numId w:val="5"/>
        </w:numPr>
        <w:spacing w:line="253" w:lineRule="atLeast"/>
        <w:rPr>
          <w:rFonts w:eastAsia="Times New Roman"/>
          <w:color w:val="000000"/>
          <w:sz w:val="24"/>
          <w:szCs w:val="24"/>
        </w:rPr>
      </w:pPr>
      <w:r w:rsidRPr="006E07E8">
        <w:rPr>
          <w:rFonts w:eastAsia="Times New Roman"/>
          <w:color w:val="000000"/>
          <w:sz w:val="24"/>
          <w:szCs w:val="24"/>
        </w:rPr>
        <w:t>Disclosures</w:t>
      </w:r>
    </w:p>
    <w:p w:rsidR="0008733B" w:rsidRPr="006E07E8" w:rsidRDefault="0008733B" w:rsidP="0008733B">
      <w:pPr>
        <w:spacing w:line="253" w:lineRule="atLeast"/>
        <w:rPr>
          <w:sz w:val="24"/>
          <w:szCs w:val="24"/>
        </w:rPr>
      </w:pPr>
      <w:r w:rsidRPr="006E07E8">
        <w:rPr>
          <w:color w:val="000000"/>
          <w:sz w:val="24"/>
          <w:szCs w:val="24"/>
        </w:rPr>
        <w:t>General Collection and Repossession Issues</w:t>
      </w:r>
    </w:p>
    <w:p w:rsidR="0008733B" w:rsidRPr="006E07E8" w:rsidRDefault="0008733B" w:rsidP="0008733B">
      <w:pPr>
        <w:numPr>
          <w:ilvl w:val="1"/>
          <w:numId w:val="5"/>
        </w:numPr>
        <w:spacing w:line="253" w:lineRule="atLeast"/>
        <w:rPr>
          <w:rFonts w:eastAsia="Times New Roman"/>
          <w:color w:val="000000"/>
          <w:sz w:val="24"/>
          <w:szCs w:val="24"/>
        </w:rPr>
      </w:pPr>
      <w:r w:rsidRPr="006E07E8">
        <w:rPr>
          <w:rFonts w:eastAsia="Times New Roman"/>
          <w:color w:val="000000"/>
          <w:sz w:val="24"/>
          <w:szCs w:val="24"/>
        </w:rPr>
        <w:t>UCC and State Installment Sales Acts</w:t>
      </w:r>
    </w:p>
    <w:p w:rsidR="0008733B" w:rsidRPr="006E07E8" w:rsidRDefault="0008733B" w:rsidP="0008733B">
      <w:pPr>
        <w:numPr>
          <w:ilvl w:val="1"/>
          <w:numId w:val="5"/>
        </w:numPr>
        <w:spacing w:line="253" w:lineRule="atLeast"/>
        <w:rPr>
          <w:rFonts w:eastAsia="Times New Roman"/>
          <w:color w:val="000000"/>
          <w:sz w:val="24"/>
          <w:szCs w:val="24"/>
        </w:rPr>
      </w:pPr>
      <w:r w:rsidRPr="006E07E8">
        <w:rPr>
          <w:rFonts w:eastAsia="Times New Roman"/>
          <w:color w:val="000000"/>
          <w:sz w:val="24"/>
          <w:szCs w:val="24"/>
        </w:rPr>
        <w:t>Choice of Law Issues</w:t>
      </w:r>
    </w:p>
    <w:p w:rsidR="0008733B" w:rsidRPr="0008733B" w:rsidRDefault="0008733B" w:rsidP="0008733B">
      <w:pPr>
        <w:numPr>
          <w:ilvl w:val="1"/>
          <w:numId w:val="5"/>
        </w:numPr>
        <w:spacing w:line="253" w:lineRule="atLeast"/>
        <w:rPr>
          <w:rFonts w:eastAsia="Times New Roman"/>
          <w:color w:val="000000"/>
          <w:sz w:val="24"/>
          <w:szCs w:val="24"/>
        </w:rPr>
      </w:pPr>
      <w:r w:rsidRPr="006E07E8">
        <w:rPr>
          <w:rFonts w:eastAsia="Times New Roman"/>
          <w:color w:val="000000"/>
          <w:sz w:val="24"/>
          <w:szCs w:val="24"/>
        </w:rPr>
        <w:t>Courts/UDAAP/Miscellaneous Issues</w:t>
      </w:r>
    </w:p>
    <w:p w:rsidR="0008733B" w:rsidRPr="00916651" w:rsidRDefault="0008733B" w:rsidP="0008733B">
      <w:pPr>
        <w:rPr>
          <w:rFonts w:cstheme="minorHAnsi"/>
          <w:b/>
          <w:sz w:val="24"/>
          <w:szCs w:val="24"/>
        </w:rPr>
      </w:pPr>
      <w:r w:rsidRPr="00916651">
        <w:rPr>
          <w:rFonts w:eastAsia="Times New Roman" w:cstheme="minorHAnsi"/>
          <w:iCs/>
          <w:sz w:val="24"/>
          <w:szCs w:val="24"/>
        </w:rPr>
        <w:t>13.</w:t>
      </w:r>
      <w:r w:rsidRPr="00916651">
        <w:rPr>
          <w:rFonts w:eastAsia="Times New Roman" w:cstheme="minorHAnsi"/>
          <w:i/>
          <w:iCs/>
          <w:sz w:val="24"/>
          <w:szCs w:val="24"/>
        </w:rPr>
        <w:tab/>
      </w:r>
      <w:r w:rsidRPr="00916651">
        <w:rPr>
          <w:rFonts w:cstheme="minorHAnsi"/>
          <w:sz w:val="24"/>
          <w:szCs w:val="24"/>
          <w:highlight w:val="yellow"/>
          <w:u w:val="single"/>
        </w:rPr>
        <w:t xml:space="preserve">Suggestions from Clay </w:t>
      </w:r>
      <w:proofErr w:type="spellStart"/>
      <w:r w:rsidRPr="00916651">
        <w:rPr>
          <w:rFonts w:cstheme="minorHAnsi"/>
          <w:sz w:val="24"/>
          <w:szCs w:val="24"/>
          <w:highlight w:val="yellow"/>
          <w:u w:val="single"/>
        </w:rPr>
        <w:t>Sheitzach</w:t>
      </w:r>
      <w:proofErr w:type="spellEnd"/>
      <w:r w:rsidRPr="00916651">
        <w:rPr>
          <w:rFonts w:cstheme="minorHAnsi"/>
          <w:sz w:val="24"/>
          <w:szCs w:val="24"/>
          <w:highlight w:val="yellow"/>
          <w:u w:val="single"/>
        </w:rPr>
        <w:t>, General Counsel, Drive Time</w:t>
      </w:r>
    </w:p>
    <w:p w:rsidR="0008733B" w:rsidRPr="00916651" w:rsidRDefault="0008733B" w:rsidP="0008733B">
      <w:pPr>
        <w:rPr>
          <w:rFonts w:cstheme="minorHAnsi"/>
          <w:sz w:val="24"/>
          <w:szCs w:val="24"/>
        </w:rPr>
      </w:pPr>
      <w:r w:rsidRPr="00916651">
        <w:rPr>
          <w:rFonts w:cstheme="minorHAnsi"/>
          <w:sz w:val="24"/>
          <w:szCs w:val="24"/>
        </w:rPr>
        <w:t>Erin, I’m still new to NADC, so not sure how this works, but to the extent you are really looking for topic ideas, here are items my team would love to see:</w:t>
      </w:r>
    </w:p>
    <w:p w:rsidR="0008733B" w:rsidRPr="00916651" w:rsidRDefault="0008733B" w:rsidP="0008733B">
      <w:pPr>
        <w:numPr>
          <w:ilvl w:val="0"/>
          <w:numId w:val="6"/>
        </w:numPr>
        <w:spacing w:after="0" w:line="240" w:lineRule="auto"/>
        <w:rPr>
          <w:rFonts w:cstheme="minorHAnsi"/>
          <w:sz w:val="24"/>
          <w:szCs w:val="24"/>
        </w:rPr>
      </w:pPr>
      <w:r w:rsidRPr="00916651">
        <w:rPr>
          <w:rFonts w:cstheme="minorHAnsi"/>
          <w:sz w:val="24"/>
          <w:szCs w:val="24"/>
        </w:rPr>
        <w:t>TCPA tips, trends, and tactics- likely panel of in-house/outside firm;</w:t>
      </w:r>
    </w:p>
    <w:p w:rsidR="0008733B" w:rsidRPr="00916651" w:rsidRDefault="0008733B" w:rsidP="0008733B">
      <w:pPr>
        <w:numPr>
          <w:ilvl w:val="0"/>
          <w:numId w:val="6"/>
        </w:numPr>
        <w:spacing w:after="0" w:line="240" w:lineRule="auto"/>
        <w:rPr>
          <w:rFonts w:cstheme="minorHAnsi"/>
          <w:sz w:val="24"/>
          <w:szCs w:val="24"/>
        </w:rPr>
      </w:pPr>
      <w:r w:rsidRPr="00916651">
        <w:rPr>
          <w:rFonts w:cstheme="minorHAnsi"/>
          <w:sz w:val="24"/>
          <w:szCs w:val="24"/>
        </w:rPr>
        <w:t>Title and lien issues- What to do when it goes wrong- likely panel of in-house/outside firm;</w:t>
      </w:r>
    </w:p>
    <w:p w:rsidR="0008733B" w:rsidRPr="00916651" w:rsidRDefault="0008733B" w:rsidP="0008733B">
      <w:pPr>
        <w:numPr>
          <w:ilvl w:val="0"/>
          <w:numId w:val="6"/>
        </w:numPr>
        <w:spacing w:after="0" w:line="240" w:lineRule="auto"/>
        <w:rPr>
          <w:rFonts w:cstheme="minorHAnsi"/>
          <w:sz w:val="24"/>
          <w:szCs w:val="24"/>
        </w:rPr>
      </w:pPr>
      <w:r w:rsidRPr="00916651">
        <w:rPr>
          <w:rFonts w:cstheme="minorHAnsi"/>
          <w:sz w:val="24"/>
          <w:szCs w:val="24"/>
        </w:rPr>
        <w:t xml:space="preserve">Remarketing- When to get the car and what to do with it when you get it- likely panel of in-house/outside firm; </w:t>
      </w:r>
    </w:p>
    <w:p w:rsidR="0008733B" w:rsidRPr="00916651" w:rsidRDefault="0008733B" w:rsidP="0008733B">
      <w:pPr>
        <w:numPr>
          <w:ilvl w:val="0"/>
          <w:numId w:val="6"/>
        </w:numPr>
        <w:spacing w:after="0" w:line="240" w:lineRule="auto"/>
        <w:rPr>
          <w:rFonts w:cstheme="minorHAnsi"/>
          <w:sz w:val="24"/>
          <w:szCs w:val="24"/>
        </w:rPr>
      </w:pPr>
      <w:r w:rsidRPr="00916651">
        <w:rPr>
          <w:rFonts w:cstheme="minorHAnsi"/>
          <w:sz w:val="24"/>
          <w:szCs w:val="24"/>
        </w:rPr>
        <w:t>Compliance- The Regulators are (always) coming- Staying ahead of the constantly changing regulatory world.- likely panel of in-house/outside firm;</w:t>
      </w:r>
    </w:p>
    <w:p w:rsidR="0008733B" w:rsidRPr="00916651" w:rsidRDefault="0008733B" w:rsidP="0008733B">
      <w:pPr>
        <w:numPr>
          <w:ilvl w:val="0"/>
          <w:numId w:val="6"/>
        </w:numPr>
        <w:spacing w:after="0" w:line="240" w:lineRule="auto"/>
        <w:rPr>
          <w:rFonts w:cstheme="minorHAnsi"/>
          <w:sz w:val="24"/>
          <w:szCs w:val="24"/>
        </w:rPr>
      </w:pPr>
      <w:r w:rsidRPr="00916651">
        <w:rPr>
          <w:rFonts w:cstheme="minorHAnsi"/>
          <w:sz w:val="24"/>
          <w:szCs w:val="24"/>
        </w:rPr>
        <w:t>Views from the inside- What your clients deal with every day (in-house perspective on daily legal struggles and challenges)- good for panel of in-house folks with maybe an outside moderator; and</w:t>
      </w:r>
    </w:p>
    <w:p w:rsidR="0008733B" w:rsidRPr="00916651" w:rsidRDefault="0008733B" w:rsidP="0008733B">
      <w:pPr>
        <w:numPr>
          <w:ilvl w:val="0"/>
          <w:numId w:val="6"/>
        </w:numPr>
        <w:spacing w:after="0" w:line="240" w:lineRule="auto"/>
        <w:rPr>
          <w:rFonts w:cstheme="minorHAnsi"/>
          <w:sz w:val="24"/>
          <w:szCs w:val="24"/>
        </w:rPr>
      </w:pPr>
      <w:r w:rsidRPr="00916651">
        <w:rPr>
          <w:rFonts w:cstheme="minorHAnsi"/>
          <w:sz w:val="24"/>
          <w:szCs w:val="24"/>
        </w:rPr>
        <w:t>Views from the government- Get some pertinent regulators on a panel with outside or in-house lawyers to discuss interactions, trends, what works, what doesn’t.</w:t>
      </w:r>
    </w:p>
    <w:p w:rsidR="0008733B" w:rsidRPr="00916651" w:rsidRDefault="0008733B" w:rsidP="0008733B">
      <w:pPr>
        <w:rPr>
          <w:rFonts w:cstheme="minorHAnsi"/>
          <w:sz w:val="24"/>
          <w:szCs w:val="24"/>
        </w:rPr>
      </w:pPr>
    </w:p>
    <w:p w:rsidR="0008733B" w:rsidRPr="00916651" w:rsidRDefault="0008733B" w:rsidP="0008733B">
      <w:pPr>
        <w:rPr>
          <w:rFonts w:cstheme="minorHAnsi"/>
          <w:sz w:val="24"/>
          <w:szCs w:val="24"/>
        </w:rPr>
      </w:pPr>
      <w:r w:rsidRPr="00916651">
        <w:rPr>
          <w:rFonts w:cstheme="minorHAnsi"/>
          <w:sz w:val="24"/>
          <w:szCs w:val="24"/>
        </w:rPr>
        <w:t>These are all topics my team deals with daily, so of great interest. Not sure how that applies across your membership. Would be happy to help y’all put these or any other presentations together, and even participate where appropriate.</w:t>
      </w:r>
    </w:p>
    <w:p w:rsidR="00C95491" w:rsidRDefault="00054A12"/>
    <w:sectPr w:rsidR="00C95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5E1A"/>
    <w:multiLevelType w:val="hybridMultilevel"/>
    <w:tmpl w:val="8ED85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F1CA2"/>
    <w:multiLevelType w:val="hybridMultilevel"/>
    <w:tmpl w:val="36B4E0F8"/>
    <w:lvl w:ilvl="0" w:tplc="127EED10">
      <w:start w:val="1"/>
      <w:numFmt w:val="bullet"/>
      <w:lvlText w:val="•"/>
      <w:lvlJc w:val="left"/>
      <w:pPr>
        <w:tabs>
          <w:tab w:val="num" w:pos="720"/>
        </w:tabs>
        <w:ind w:left="720" w:hanging="360"/>
      </w:pPr>
      <w:rPr>
        <w:rFonts w:ascii="Arial" w:hAnsi="Arial" w:cs="Times New Roman" w:hint="default"/>
      </w:rPr>
    </w:lvl>
    <w:lvl w:ilvl="1" w:tplc="2AD47538">
      <w:start w:val="128"/>
      <w:numFmt w:val="bullet"/>
      <w:lvlText w:val="•"/>
      <w:lvlJc w:val="left"/>
      <w:pPr>
        <w:tabs>
          <w:tab w:val="num" w:pos="1440"/>
        </w:tabs>
        <w:ind w:left="1440" w:hanging="360"/>
      </w:pPr>
      <w:rPr>
        <w:rFonts w:ascii="Arial" w:hAnsi="Arial" w:cs="Times New Roman" w:hint="default"/>
      </w:rPr>
    </w:lvl>
    <w:lvl w:ilvl="2" w:tplc="7D86DCC0">
      <w:start w:val="1"/>
      <w:numFmt w:val="bullet"/>
      <w:lvlText w:val="•"/>
      <w:lvlJc w:val="left"/>
      <w:pPr>
        <w:tabs>
          <w:tab w:val="num" w:pos="2160"/>
        </w:tabs>
        <w:ind w:left="2160" w:hanging="360"/>
      </w:pPr>
      <w:rPr>
        <w:rFonts w:ascii="Arial" w:hAnsi="Arial" w:cs="Times New Roman" w:hint="default"/>
      </w:rPr>
    </w:lvl>
    <w:lvl w:ilvl="3" w:tplc="680ABFB0">
      <w:start w:val="1"/>
      <w:numFmt w:val="bullet"/>
      <w:lvlText w:val="•"/>
      <w:lvlJc w:val="left"/>
      <w:pPr>
        <w:tabs>
          <w:tab w:val="num" w:pos="2880"/>
        </w:tabs>
        <w:ind w:left="2880" w:hanging="360"/>
      </w:pPr>
      <w:rPr>
        <w:rFonts w:ascii="Arial" w:hAnsi="Arial" w:cs="Times New Roman" w:hint="default"/>
      </w:rPr>
    </w:lvl>
    <w:lvl w:ilvl="4" w:tplc="3C04AF04">
      <w:start w:val="1"/>
      <w:numFmt w:val="bullet"/>
      <w:lvlText w:val="•"/>
      <w:lvlJc w:val="left"/>
      <w:pPr>
        <w:tabs>
          <w:tab w:val="num" w:pos="3600"/>
        </w:tabs>
        <w:ind w:left="3600" w:hanging="360"/>
      </w:pPr>
      <w:rPr>
        <w:rFonts w:ascii="Arial" w:hAnsi="Arial" w:cs="Times New Roman" w:hint="default"/>
      </w:rPr>
    </w:lvl>
    <w:lvl w:ilvl="5" w:tplc="A328DB44">
      <w:start w:val="1"/>
      <w:numFmt w:val="bullet"/>
      <w:lvlText w:val="•"/>
      <w:lvlJc w:val="left"/>
      <w:pPr>
        <w:tabs>
          <w:tab w:val="num" w:pos="4320"/>
        </w:tabs>
        <w:ind w:left="4320" w:hanging="360"/>
      </w:pPr>
      <w:rPr>
        <w:rFonts w:ascii="Arial" w:hAnsi="Arial" w:cs="Times New Roman" w:hint="default"/>
      </w:rPr>
    </w:lvl>
    <w:lvl w:ilvl="6" w:tplc="537E9F64">
      <w:start w:val="1"/>
      <w:numFmt w:val="bullet"/>
      <w:lvlText w:val="•"/>
      <w:lvlJc w:val="left"/>
      <w:pPr>
        <w:tabs>
          <w:tab w:val="num" w:pos="5040"/>
        </w:tabs>
        <w:ind w:left="5040" w:hanging="360"/>
      </w:pPr>
      <w:rPr>
        <w:rFonts w:ascii="Arial" w:hAnsi="Arial" w:cs="Times New Roman" w:hint="default"/>
      </w:rPr>
    </w:lvl>
    <w:lvl w:ilvl="7" w:tplc="633C86B0">
      <w:start w:val="1"/>
      <w:numFmt w:val="bullet"/>
      <w:lvlText w:val="•"/>
      <w:lvlJc w:val="left"/>
      <w:pPr>
        <w:tabs>
          <w:tab w:val="num" w:pos="5760"/>
        </w:tabs>
        <w:ind w:left="5760" w:hanging="360"/>
      </w:pPr>
      <w:rPr>
        <w:rFonts w:ascii="Arial" w:hAnsi="Arial" w:cs="Times New Roman" w:hint="default"/>
      </w:rPr>
    </w:lvl>
    <w:lvl w:ilvl="8" w:tplc="A8707110">
      <w:start w:val="1"/>
      <w:numFmt w:val="bullet"/>
      <w:lvlText w:val="•"/>
      <w:lvlJc w:val="left"/>
      <w:pPr>
        <w:tabs>
          <w:tab w:val="num" w:pos="6480"/>
        </w:tabs>
        <w:ind w:left="6480" w:hanging="360"/>
      </w:pPr>
      <w:rPr>
        <w:rFonts w:ascii="Arial" w:hAnsi="Arial" w:cs="Times New Roman" w:hint="default"/>
      </w:rPr>
    </w:lvl>
  </w:abstractNum>
  <w:abstractNum w:abstractNumId="2">
    <w:nsid w:val="3E9E75B6"/>
    <w:multiLevelType w:val="hybridMultilevel"/>
    <w:tmpl w:val="8C227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5D800CD"/>
    <w:multiLevelType w:val="hybridMultilevel"/>
    <w:tmpl w:val="DE668D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C40F1A"/>
    <w:multiLevelType w:val="hybridMultilevel"/>
    <w:tmpl w:val="15BC25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D91558"/>
    <w:multiLevelType w:val="hybridMultilevel"/>
    <w:tmpl w:val="FCCA90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33B"/>
    <w:rsid w:val="0008733B"/>
    <w:rsid w:val="0033056A"/>
    <w:rsid w:val="00845999"/>
    <w:rsid w:val="00D8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33B"/>
    <w:pPr>
      <w:spacing w:after="0" w:line="240" w:lineRule="auto"/>
    </w:pPr>
  </w:style>
  <w:style w:type="paragraph" w:styleId="ListParagraph">
    <w:name w:val="List Paragraph"/>
    <w:basedOn w:val="Normal"/>
    <w:uiPriority w:val="34"/>
    <w:qFormat/>
    <w:rsid w:val="0008733B"/>
    <w:pPr>
      <w:spacing w:after="0" w:line="240" w:lineRule="auto"/>
      <w:ind w:left="720"/>
    </w:pPr>
    <w:rPr>
      <w:rFonts w:ascii="Calibri" w:hAnsi="Calibri" w:cs="Calibri"/>
    </w:rPr>
  </w:style>
  <w:style w:type="paragraph" w:styleId="BodyText">
    <w:name w:val="Body Text"/>
    <w:basedOn w:val="Normal"/>
    <w:link w:val="BodyTextChar"/>
    <w:uiPriority w:val="1"/>
    <w:qFormat/>
    <w:rsid w:val="0008733B"/>
    <w:pPr>
      <w:widowControl w:val="0"/>
      <w:autoSpaceDE w:val="0"/>
      <w:autoSpaceDN w:val="0"/>
      <w:adjustRightInd w:val="0"/>
      <w:spacing w:after="0" w:line="240" w:lineRule="auto"/>
    </w:pPr>
    <w:rPr>
      <w:rFonts w:ascii="Verdana" w:eastAsiaTheme="minorEastAsia" w:hAnsi="Verdana" w:cs="Verdana"/>
      <w:sz w:val="24"/>
      <w:szCs w:val="24"/>
    </w:rPr>
  </w:style>
  <w:style w:type="character" w:customStyle="1" w:styleId="BodyTextChar">
    <w:name w:val="Body Text Char"/>
    <w:basedOn w:val="DefaultParagraphFont"/>
    <w:link w:val="BodyText"/>
    <w:uiPriority w:val="1"/>
    <w:rsid w:val="0008733B"/>
    <w:rPr>
      <w:rFonts w:ascii="Verdana" w:eastAsiaTheme="minorEastAsia" w:hAnsi="Verdana" w:cs="Verdana"/>
      <w:sz w:val="24"/>
      <w:szCs w:val="24"/>
    </w:rPr>
  </w:style>
  <w:style w:type="paragraph" w:styleId="BalloonText">
    <w:name w:val="Balloon Text"/>
    <w:basedOn w:val="Normal"/>
    <w:link w:val="BalloonTextChar"/>
    <w:uiPriority w:val="99"/>
    <w:semiHidden/>
    <w:unhideWhenUsed/>
    <w:rsid w:val="00330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33B"/>
    <w:pPr>
      <w:spacing w:after="0" w:line="240" w:lineRule="auto"/>
    </w:pPr>
  </w:style>
  <w:style w:type="paragraph" w:styleId="ListParagraph">
    <w:name w:val="List Paragraph"/>
    <w:basedOn w:val="Normal"/>
    <w:uiPriority w:val="34"/>
    <w:qFormat/>
    <w:rsid w:val="0008733B"/>
    <w:pPr>
      <w:spacing w:after="0" w:line="240" w:lineRule="auto"/>
      <w:ind w:left="720"/>
    </w:pPr>
    <w:rPr>
      <w:rFonts w:ascii="Calibri" w:hAnsi="Calibri" w:cs="Calibri"/>
    </w:rPr>
  </w:style>
  <w:style w:type="paragraph" w:styleId="BodyText">
    <w:name w:val="Body Text"/>
    <w:basedOn w:val="Normal"/>
    <w:link w:val="BodyTextChar"/>
    <w:uiPriority w:val="1"/>
    <w:qFormat/>
    <w:rsid w:val="0008733B"/>
    <w:pPr>
      <w:widowControl w:val="0"/>
      <w:autoSpaceDE w:val="0"/>
      <w:autoSpaceDN w:val="0"/>
      <w:adjustRightInd w:val="0"/>
      <w:spacing w:after="0" w:line="240" w:lineRule="auto"/>
    </w:pPr>
    <w:rPr>
      <w:rFonts w:ascii="Verdana" w:eastAsiaTheme="minorEastAsia" w:hAnsi="Verdana" w:cs="Verdana"/>
      <w:sz w:val="24"/>
      <w:szCs w:val="24"/>
    </w:rPr>
  </w:style>
  <w:style w:type="character" w:customStyle="1" w:styleId="BodyTextChar">
    <w:name w:val="Body Text Char"/>
    <w:basedOn w:val="DefaultParagraphFont"/>
    <w:link w:val="BodyText"/>
    <w:uiPriority w:val="1"/>
    <w:rsid w:val="0008733B"/>
    <w:rPr>
      <w:rFonts w:ascii="Verdana" w:eastAsiaTheme="minorEastAsia" w:hAnsi="Verdana" w:cs="Verdana"/>
      <w:sz w:val="24"/>
      <w:szCs w:val="24"/>
    </w:rPr>
  </w:style>
  <w:style w:type="paragraph" w:styleId="BalloonText">
    <w:name w:val="Balloon Text"/>
    <w:basedOn w:val="Normal"/>
    <w:link w:val="BalloonTextChar"/>
    <w:uiPriority w:val="99"/>
    <w:semiHidden/>
    <w:unhideWhenUsed/>
    <w:rsid w:val="00330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1</cp:revision>
  <dcterms:created xsi:type="dcterms:W3CDTF">2018-07-16T18:21:00Z</dcterms:created>
  <dcterms:modified xsi:type="dcterms:W3CDTF">2018-07-16T18:24:00Z</dcterms:modified>
</cp:coreProperties>
</file>